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十一</w:t>
      </w:r>
      <w:r>
        <w:rPr>
          <w:rFonts w:hint="eastAsia" w:ascii="宋体" w:hAnsi="宋体"/>
          <w:sz w:val="32"/>
          <w:szCs w:val="32"/>
        </w:rPr>
        <w:t>期）约定的招租方式，贵公司成为成交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50702FE"/>
    <w:rsid w:val="49ED2A01"/>
    <w:rsid w:val="501434CA"/>
    <w:rsid w:val="57806907"/>
    <w:rsid w:val="5A1628F1"/>
    <w:rsid w:val="5AF74F4A"/>
    <w:rsid w:val="60AB396D"/>
    <w:rsid w:val="6204113A"/>
    <w:rsid w:val="735019CD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2022-09-14T07:58:22Z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